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2B5E3" w14:textId="4131B632" w:rsidR="00E7327C" w:rsidRPr="00F67217" w:rsidRDefault="00F67217" w:rsidP="00F67217">
      <w:pPr>
        <w:pStyle w:val="BodyTextIndent"/>
        <w:ind w:left="0" w:firstLine="0"/>
        <w:rPr>
          <w:rFonts w:asciiTheme="minorHAnsi" w:hAnsiTheme="minorHAnsi" w:cstheme="minorHAnsi"/>
          <w:b/>
          <w:bCs w:val="0"/>
          <w:sz w:val="22"/>
          <w:szCs w:val="22"/>
        </w:rPr>
      </w:pPr>
      <w:r w:rsidRPr="00F67217">
        <w:rPr>
          <w:rFonts w:asciiTheme="minorHAnsi" w:hAnsiTheme="minorHAnsi" w:cstheme="minorHAnsi"/>
          <w:b/>
          <w:bCs w:val="0"/>
          <w:sz w:val="22"/>
          <w:szCs w:val="22"/>
        </w:rPr>
        <w:t>GREATER NOTTINGHAM STRATEGIC PLAN GROWTH OPTIONS CONSULTATION JULY 2020 – RUDDINGTON SUMMARY</w:t>
      </w:r>
    </w:p>
    <w:p w14:paraId="58B47527" w14:textId="77777777" w:rsidR="00E7327C" w:rsidRPr="00C420C2" w:rsidRDefault="00E7327C" w:rsidP="00F67217">
      <w:pPr>
        <w:pStyle w:val="BodyTextIndent"/>
        <w:ind w:left="0" w:firstLine="0"/>
        <w:rPr>
          <w:rFonts w:asciiTheme="minorHAnsi" w:hAnsiTheme="minorHAnsi" w:cstheme="minorHAnsi"/>
          <w:sz w:val="22"/>
          <w:szCs w:val="22"/>
        </w:rPr>
      </w:pPr>
    </w:p>
    <w:p w14:paraId="1DFF2EE3" w14:textId="77777777" w:rsidR="00E7327C" w:rsidRPr="00C420C2" w:rsidRDefault="00E7327C" w:rsidP="00F67217">
      <w:pPr>
        <w:pStyle w:val="BodyTextIndent"/>
        <w:ind w:left="0"/>
        <w:rPr>
          <w:rFonts w:asciiTheme="minorHAnsi" w:hAnsiTheme="minorHAnsi" w:cstheme="minorHAnsi"/>
          <w:b/>
          <w:sz w:val="22"/>
          <w:szCs w:val="22"/>
          <w:u w:val="single"/>
        </w:rPr>
      </w:pPr>
      <w:r w:rsidRPr="00C420C2">
        <w:rPr>
          <w:rFonts w:asciiTheme="minorHAnsi" w:hAnsiTheme="minorHAnsi" w:cstheme="minorHAnsi"/>
          <w:b/>
          <w:sz w:val="22"/>
          <w:szCs w:val="22"/>
          <w:u w:val="single"/>
        </w:rPr>
        <w:t>EXISTING AND COMMITTED HOUSING IN RUDDINGTON</w:t>
      </w:r>
    </w:p>
    <w:p w14:paraId="33395375" w14:textId="69F3834D" w:rsidR="00E7327C" w:rsidRPr="00C420C2" w:rsidRDefault="00E7327C" w:rsidP="00F67217">
      <w:pPr>
        <w:spacing w:after="0" w:line="240" w:lineRule="auto"/>
        <w:rPr>
          <w:rStyle w:val="fontstyle01"/>
          <w:rFonts w:asciiTheme="minorHAnsi" w:hAnsiTheme="minorHAnsi" w:cstheme="minorHAnsi"/>
          <w:sz w:val="22"/>
          <w:szCs w:val="22"/>
        </w:rPr>
      </w:pPr>
      <w:r w:rsidRPr="00C420C2">
        <w:rPr>
          <w:rStyle w:val="fontstyle01"/>
          <w:rFonts w:asciiTheme="minorHAnsi" w:hAnsiTheme="minorHAnsi" w:cstheme="minorHAnsi"/>
          <w:i/>
          <w:iCs/>
          <w:sz w:val="22"/>
          <w:szCs w:val="22"/>
        </w:rPr>
        <w:t>It is considered that Ruddington has scope to sustain around 525 dwellings in total adjacent to the village, based on the capacity of local services and the availability of suitable sites for development.</w:t>
      </w:r>
      <w:r w:rsidR="00317FDA" w:rsidRPr="00C420C2">
        <w:rPr>
          <w:rStyle w:val="fontstyle01"/>
          <w:rFonts w:asciiTheme="minorHAnsi" w:hAnsiTheme="minorHAnsi" w:cstheme="minorHAnsi"/>
          <w:i/>
          <w:iCs/>
          <w:sz w:val="22"/>
          <w:szCs w:val="22"/>
        </w:rPr>
        <w:t xml:space="preserve"> (</w:t>
      </w:r>
      <w:r w:rsidR="00317FDA" w:rsidRPr="00C420C2">
        <w:rPr>
          <w:rStyle w:val="fontstyle01"/>
          <w:rFonts w:asciiTheme="minorHAnsi" w:hAnsiTheme="minorHAnsi" w:cstheme="minorHAnsi"/>
          <w:sz w:val="22"/>
          <w:szCs w:val="22"/>
        </w:rPr>
        <w:t>Rushcliffe Borough Council’s adopted Local Plan Part 2)</w:t>
      </w:r>
    </w:p>
    <w:p w14:paraId="39438F7D" w14:textId="77777777" w:rsidR="00E7327C" w:rsidRPr="00C420C2" w:rsidRDefault="00E7327C" w:rsidP="00F67217">
      <w:pPr>
        <w:spacing w:after="0" w:line="240" w:lineRule="auto"/>
        <w:rPr>
          <w:rStyle w:val="fontstyle01"/>
          <w:rFonts w:asciiTheme="minorHAnsi" w:hAnsiTheme="minorHAnsi" w:cstheme="minorHAnsi"/>
          <w:sz w:val="22"/>
          <w:szCs w:val="22"/>
        </w:rPr>
      </w:pPr>
      <w:r w:rsidRPr="00C420C2">
        <w:rPr>
          <w:rStyle w:val="fontstyle01"/>
          <w:rFonts w:asciiTheme="minorHAnsi" w:hAnsiTheme="minorHAnsi" w:cstheme="minorHAnsi"/>
          <w:sz w:val="22"/>
          <w:szCs w:val="22"/>
        </w:rPr>
        <w:t xml:space="preserve">Committed development to the end of 2028 has already been increased from 525 to 588 houses. </w:t>
      </w:r>
    </w:p>
    <w:p w14:paraId="6FE47C09" w14:textId="2048F1B4" w:rsidR="00E7327C" w:rsidRPr="00C420C2" w:rsidRDefault="00317FDA" w:rsidP="00F67217">
      <w:pPr>
        <w:spacing w:after="0" w:line="240" w:lineRule="auto"/>
        <w:rPr>
          <w:rFonts w:cstheme="minorHAnsi"/>
        </w:rPr>
      </w:pPr>
      <w:r w:rsidRPr="00C420C2">
        <w:rPr>
          <w:rFonts w:cstheme="minorHAnsi"/>
        </w:rPr>
        <w:t xml:space="preserve">The 2011 Census recorded a total of 3,146 houses in Ruddington. </w:t>
      </w:r>
      <w:r w:rsidR="00E7327C" w:rsidRPr="00C420C2">
        <w:rPr>
          <w:rStyle w:val="fontstyle01"/>
          <w:rFonts w:asciiTheme="minorHAnsi" w:hAnsiTheme="minorHAnsi" w:cstheme="minorHAnsi"/>
          <w:b/>
          <w:bCs/>
          <w:sz w:val="22"/>
          <w:szCs w:val="22"/>
        </w:rPr>
        <w:t xml:space="preserve">2028 Ruddington will have at least </w:t>
      </w:r>
      <w:r w:rsidR="00E7327C" w:rsidRPr="00C420C2">
        <w:rPr>
          <w:rFonts w:cstheme="minorHAnsi"/>
          <w:b/>
          <w:bCs/>
        </w:rPr>
        <w:t>3,734 houses by 2028.</w:t>
      </w:r>
    </w:p>
    <w:p w14:paraId="07ACFEA8" w14:textId="12B22E14" w:rsidR="00E7327C" w:rsidRPr="00C420C2" w:rsidRDefault="00E7327C" w:rsidP="00F67217">
      <w:pPr>
        <w:spacing w:after="0" w:line="240" w:lineRule="auto"/>
        <w:rPr>
          <w:rFonts w:cstheme="minorHAnsi"/>
        </w:rPr>
      </w:pPr>
    </w:p>
    <w:p w14:paraId="50E889E7" w14:textId="77777777" w:rsidR="00E7327C" w:rsidRPr="00C420C2" w:rsidRDefault="00E7327C" w:rsidP="00F67217">
      <w:pPr>
        <w:pStyle w:val="BodyTextIndent"/>
        <w:ind w:left="0"/>
        <w:rPr>
          <w:rFonts w:asciiTheme="minorHAnsi" w:hAnsiTheme="minorHAnsi" w:cstheme="minorHAnsi"/>
          <w:b/>
          <w:sz w:val="22"/>
          <w:szCs w:val="22"/>
          <w:u w:val="single"/>
        </w:rPr>
      </w:pPr>
      <w:r w:rsidRPr="00C420C2">
        <w:rPr>
          <w:rFonts w:asciiTheme="minorHAnsi" w:hAnsiTheme="minorHAnsi" w:cstheme="minorHAnsi"/>
          <w:b/>
          <w:sz w:val="22"/>
          <w:szCs w:val="22"/>
          <w:u w:val="single"/>
        </w:rPr>
        <w:t>HOUSING ASSOCIATED WITH PROPOSED SITES</w:t>
      </w:r>
    </w:p>
    <w:p w14:paraId="6FF90519" w14:textId="590BF511" w:rsidR="00E7327C" w:rsidRPr="00C420C2" w:rsidRDefault="00E7327C" w:rsidP="00F67217">
      <w:pPr>
        <w:spacing w:after="0" w:line="240" w:lineRule="auto"/>
        <w:jc w:val="both"/>
        <w:rPr>
          <w:rStyle w:val="fontstyle01"/>
          <w:rFonts w:asciiTheme="minorHAnsi" w:hAnsiTheme="minorHAnsi" w:cstheme="minorHAnsi"/>
          <w:sz w:val="22"/>
          <w:szCs w:val="22"/>
        </w:rPr>
      </w:pPr>
      <w:r w:rsidRPr="00C420C2">
        <w:rPr>
          <w:rFonts w:cstheme="minorHAnsi"/>
          <w:bCs/>
        </w:rPr>
        <w:t xml:space="preserve">Based upon figures in the report </w:t>
      </w:r>
      <w:r w:rsidRPr="00C420C2">
        <w:rPr>
          <w:rStyle w:val="fontstyle01"/>
          <w:rFonts w:asciiTheme="minorHAnsi" w:hAnsiTheme="minorHAnsi" w:cstheme="minorHAnsi"/>
          <w:sz w:val="22"/>
          <w:szCs w:val="22"/>
        </w:rPr>
        <w:t>the number of houses for each site would be as follows</w:t>
      </w:r>
      <w:r w:rsidR="00C420C2">
        <w:rPr>
          <w:rStyle w:val="fontstyle01"/>
          <w:rFonts w:asciiTheme="minorHAnsi" w:hAnsiTheme="minorHAnsi" w:cstheme="minorHAnsi"/>
          <w:sz w:val="22"/>
          <w:szCs w:val="22"/>
        </w:rPr>
        <w:t>:</w:t>
      </w:r>
    </w:p>
    <w:p w14:paraId="259827A2" w14:textId="77777777" w:rsidR="00C420C2" w:rsidRDefault="00E7327C" w:rsidP="00F67217">
      <w:pPr>
        <w:spacing w:after="0" w:line="240" w:lineRule="auto"/>
        <w:jc w:val="both"/>
        <w:rPr>
          <w:rStyle w:val="fontstyle01"/>
          <w:rFonts w:asciiTheme="minorHAnsi" w:hAnsiTheme="minorHAnsi" w:cstheme="minorHAnsi"/>
          <w:sz w:val="22"/>
          <w:szCs w:val="22"/>
        </w:rPr>
      </w:pPr>
      <w:r w:rsidRPr="00C420C2">
        <w:rPr>
          <w:rStyle w:val="fontstyle01"/>
          <w:rFonts w:asciiTheme="minorHAnsi" w:hAnsiTheme="minorHAnsi" w:cstheme="minorHAnsi"/>
          <w:sz w:val="22"/>
          <w:szCs w:val="22"/>
        </w:rPr>
        <w:t>Site Reference 12.1 (West of Pasture Lane)</w:t>
      </w:r>
      <w:r w:rsidRPr="00C420C2">
        <w:rPr>
          <w:rStyle w:val="fontstyle01"/>
          <w:rFonts w:asciiTheme="minorHAnsi" w:hAnsiTheme="minorHAnsi" w:cstheme="minorHAnsi"/>
          <w:sz w:val="22"/>
          <w:szCs w:val="22"/>
        </w:rPr>
        <w:tab/>
      </w:r>
      <w:r w:rsidRPr="00C420C2">
        <w:rPr>
          <w:rStyle w:val="fontstyle01"/>
          <w:rFonts w:asciiTheme="minorHAnsi" w:hAnsiTheme="minorHAnsi" w:cstheme="minorHAnsi"/>
          <w:sz w:val="22"/>
          <w:szCs w:val="22"/>
        </w:rPr>
        <w:tab/>
      </w:r>
      <w:r w:rsidRPr="00C420C2">
        <w:rPr>
          <w:rStyle w:val="fontstyle01"/>
          <w:rFonts w:asciiTheme="minorHAnsi" w:hAnsiTheme="minorHAnsi" w:cstheme="minorHAnsi"/>
          <w:sz w:val="22"/>
          <w:szCs w:val="22"/>
        </w:rPr>
        <w:tab/>
      </w:r>
      <w:r w:rsidRPr="00C420C2">
        <w:rPr>
          <w:rStyle w:val="fontstyle01"/>
          <w:rFonts w:asciiTheme="minorHAnsi" w:hAnsiTheme="minorHAnsi" w:cstheme="minorHAnsi"/>
          <w:sz w:val="22"/>
          <w:szCs w:val="22"/>
        </w:rPr>
        <w:tab/>
        <w:t xml:space="preserve">595 </w:t>
      </w:r>
      <w:r w:rsidR="00317FDA" w:rsidRPr="00C420C2">
        <w:rPr>
          <w:rStyle w:val="fontstyle01"/>
          <w:rFonts w:asciiTheme="minorHAnsi" w:hAnsiTheme="minorHAnsi" w:cstheme="minorHAnsi"/>
          <w:sz w:val="22"/>
          <w:szCs w:val="22"/>
        </w:rPr>
        <w:t xml:space="preserve">- </w:t>
      </w:r>
      <w:r w:rsidRPr="00C420C2">
        <w:rPr>
          <w:rStyle w:val="fontstyle01"/>
          <w:rFonts w:asciiTheme="minorHAnsi" w:hAnsiTheme="minorHAnsi" w:cstheme="minorHAnsi"/>
          <w:sz w:val="22"/>
          <w:szCs w:val="22"/>
        </w:rPr>
        <w:t>700 houses</w:t>
      </w:r>
    </w:p>
    <w:p w14:paraId="673C3A9D" w14:textId="43D6E190" w:rsidR="00E7327C" w:rsidRPr="00C420C2" w:rsidRDefault="00E7327C" w:rsidP="00F67217">
      <w:pPr>
        <w:spacing w:after="0" w:line="240" w:lineRule="auto"/>
        <w:jc w:val="both"/>
        <w:rPr>
          <w:rStyle w:val="fontstyle01"/>
          <w:rFonts w:asciiTheme="minorHAnsi" w:hAnsiTheme="minorHAnsi" w:cstheme="minorHAnsi"/>
          <w:sz w:val="22"/>
          <w:szCs w:val="22"/>
        </w:rPr>
      </w:pPr>
      <w:r w:rsidRPr="00C420C2">
        <w:rPr>
          <w:rStyle w:val="fontstyle01"/>
          <w:rFonts w:asciiTheme="minorHAnsi" w:hAnsiTheme="minorHAnsi" w:cstheme="minorHAnsi"/>
          <w:sz w:val="22"/>
          <w:szCs w:val="22"/>
        </w:rPr>
        <w:t xml:space="preserve">Site Reference 12.2 </w:t>
      </w:r>
      <w:r w:rsidR="00317FDA" w:rsidRPr="00C420C2">
        <w:rPr>
          <w:rStyle w:val="fontstyle01"/>
          <w:rFonts w:asciiTheme="minorHAnsi" w:hAnsiTheme="minorHAnsi" w:cstheme="minorHAnsi"/>
          <w:sz w:val="22"/>
          <w:szCs w:val="22"/>
        </w:rPr>
        <w:t>(</w:t>
      </w:r>
      <w:r w:rsidRPr="00C420C2">
        <w:rPr>
          <w:rStyle w:val="fontstyle01"/>
          <w:rFonts w:asciiTheme="minorHAnsi" w:hAnsiTheme="minorHAnsi" w:cstheme="minorHAnsi"/>
          <w:sz w:val="22"/>
          <w:szCs w:val="22"/>
        </w:rPr>
        <w:t>North Road</w:t>
      </w:r>
      <w:r w:rsidR="00317FDA" w:rsidRPr="00C420C2">
        <w:rPr>
          <w:rStyle w:val="fontstyle01"/>
          <w:rFonts w:asciiTheme="minorHAnsi" w:hAnsiTheme="minorHAnsi" w:cstheme="minorHAnsi"/>
          <w:sz w:val="22"/>
          <w:szCs w:val="22"/>
        </w:rPr>
        <w:t>)</w:t>
      </w:r>
      <w:r w:rsidRPr="00C420C2">
        <w:rPr>
          <w:rStyle w:val="fontstyle01"/>
          <w:rFonts w:asciiTheme="minorHAnsi" w:hAnsiTheme="minorHAnsi" w:cstheme="minorHAnsi"/>
          <w:sz w:val="22"/>
          <w:szCs w:val="22"/>
        </w:rPr>
        <w:tab/>
      </w:r>
      <w:r w:rsidRPr="00C420C2">
        <w:rPr>
          <w:rStyle w:val="fontstyle01"/>
          <w:rFonts w:asciiTheme="minorHAnsi" w:hAnsiTheme="minorHAnsi" w:cstheme="minorHAnsi"/>
          <w:sz w:val="22"/>
          <w:szCs w:val="22"/>
        </w:rPr>
        <w:tab/>
      </w:r>
      <w:r w:rsidRPr="00C420C2">
        <w:rPr>
          <w:rStyle w:val="fontstyle01"/>
          <w:rFonts w:asciiTheme="minorHAnsi" w:hAnsiTheme="minorHAnsi" w:cstheme="minorHAnsi"/>
          <w:sz w:val="22"/>
          <w:szCs w:val="22"/>
        </w:rPr>
        <w:tab/>
      </w:r>
      <w:r w:rsidRPr="00C420C2">
        <w:rPr>
          <w:rStyle w:val="fontstyle01"/>
          <w:rFonts w:asciiTheme="minorHAnsi" w:hAnsiTheme="minorHAnsi" w:cstheme="minorHAnsi"/>
          <w:sz w:val="22"/>
          <w:szCs w:val="22"/>
        </w:rPr>
        <w:tab/>
      </w:r>
      <w:r w:rsidRPr="00C420C2">
        <w:rPr>
          <w:rStyle w:val="fontstyle01"/>
          <w:rFonts w:asciiTheme="minorHAnsi" w:hAnsiTheme="minorHAnsi" w:cstheme="minorHAnsi"/>
          <w:sz w:val="22"/>
          <w:szCs w:val="22"/>
        </w:rPr>
        <w:tab/>
        <w:t xml:space="preserve">172 </w:t>
      </w:r>
      <w:r w:rsidR="00317FDA" w:rsidRPr="00C420C2">
        <w:rPr>
          <w:rStyle w:val="fontstyle01"/>
          <w:rFonts w:asciiTheme="minorHAnsi" w:hAnsiTheme="minorHAnsi" w:cstheme="minorHAnsi"/>
          <w:sz w:val="22"/>
          <w:szCs w:val="22"/>
        </w:rPr>
        <w:t xml:space="preserve">- </w:t>
      </w:r>
      <w:r w:rsidRPr="00C420C2">
        <w:rPr>
          <w:rStyle w:val="fontstyle01"/>
          <w:rFonts w:asciiTheme="minorHAnsi" w:hAnsiTheme="minorHAnsi" w:cstheme="minorHAnsi"/>
          <w:sz w:val="22"/>
          <w:szCs w:val="22"/>
        </w:rPr>
        <w:t>203 houses</w:t>
      </w:r>
    </w:p>
    <w:p w14:paraId="0CA18D2D" w14:textId="0E365751" w:rsidR="00E7327C" w:rsidRPr="00C420C2" w:rsidRDefault="00E7327C" w:rsidP="00F67217">
      <w:pPr>
        <w:spacing w:after="0" w:line="240" w:lineRule="auto"/>
        <w:jc w:val="both"/>
        <w:rPr>
          <w:rStyle w:val="fontstyle01"/>
          <w:rFonts w:asciiTheme="minorHAnsi" w:hAnsiTheme="minorHAnsi" w:cstheme="minorHAnsi"/>
          <w:sz w:val="22"/>
          <w:szCs w:val="22"/>
        </w:rPr>
      </w:pPr>
      <w:r w:rsidRPr="00C420C2">
        <w:rPr>
          <w:rStyle w:val="fontstyle01"/>
          <w:rFonts w:asciiTheme="minorHAnsi" w:hAnsiTheme="minorHAnsi" w:cstheme="minorHAnsi"/>
          <w:sz w:val="22"/>
          <w:szCs w:val="22"/>
        </w:rPr>
        <w:t xml:space="preserve">Site Reference 12.3 </w:t>
      </w:r>
      <w:r w:rsidR="00317FDA" w:rsidRPr="00C420C2">
        <w:rPr>
          <w:rStyle w:val="fontstyle01"/>
          <w:rFonts w:asciiTheme="minorHAnsi" w:hAnsiTheme="minorHAnsi" w:cstheme="minorHAnsi"/>
          <w:sz w:val="22"/>
          <w:szCs w:val="22"/>
        </w:rPr>
        <w:t>(</w:t>
      </w:r>
      <w:r w:rsidRPr="00C420C2">
        <w:rPr>
          <w:rFonts w:cstheme="minorHAnsi"/>
          <w:color w:val="000000"/>
        </w:rPr>
        <w:t>East of Loughborough Road</w:t>
      </w:r>
      <w:r w:rsidR="00317FDA" w:rsidRPr="00C420C2">
        <w:rPr>
          <w:rFonts w:cstheme="minorHAnsi"/>
          <w:color w:val="000000"/>
        </w:rPr>
        <w:t>)</w:t>
      </w:r>
      <w:r w:rsidRPr="00C420C2">
        <w:rPr>
          <w:rFonts w:cstheme="minorHAnsi"/>
          <w:color w:val="000000"/>
        </w:rPr>
        <w:t xml:space="preserve">  </w:t>
      </w:r>
      <w:r w:rsidRPr="00C420C2">
        <w:rPr>
          <w:rFonts w:cstheme="minorHAnsi"/>
          <w:color w:val="000000"/>
        </w:rPr>
        <w:tab/>
      </w:r>
      <w:r w:rsidRPr="00C420C2">
        <w:rPr>
          <w:rFonts w:cstheme="minorHAnsi"/>
          <w:color w:val="000000"/>
        </w:rPr>
        <w:tab/>
      </w:r>
      <w:r w:rsidRPr="00C420C2">
        <w:rPr>
          <w:rFonts w:cstheme="minorHAnsi"/>
          <w:color w:val="000000"/>
        </w:rPr>
        <w:tab/>
      </w:r>
      <w:r w:rsidRPr="00C420C2">
        <w:rPr>
          <w:rStyle w:val="fontstyle01"/>
          <w:rFonts w:asciiTheme="minorHAnsi" w:hAnsiTheme="minorHAnsi" w:cstheme="minorHAnsi"/>
          <w:sz w:val="22"/>
          <w:szCs w:val="22"/>
        </w:rPr>
        <w:t xml:space="preserve">996 </w:t>
      </w:r>
      <w:r w:rsidR="00317FDA" w:rsidRPr="00C420C2">
        <w:rPr>
          <w:rStyle w:val="fontstyle01"/>
          <w:rFonts w:asciiTheme="minorHAnsi" w:hAnsiTheme="minorHAnsi" w:cstheme="minorHAnsi"/>
          <w:sz w:val="22"/>
          <w:szCs w:val="22"/>
        </w:rPr>
        <w:t>-</w:t>
      </w:r>
      <w:r w:rsidRPr="00C420C2">
        <w:rPr>
          <w:rStyle w:val="fontstyle01"/>
          <w:rFonts w:asciiTheme="minorHAnsi" w:hAnsiTheme="minorHAnsi" w:cstheme="minorHAnsi"/>
          <w:sz w:val="22"/>
          <w:szCs w:val="22"/>
        </w:rPr>
        <w:t xml:space="preserve"> 1,172 houses</w:t>
      </w:r>
    </w:p>
    <w:p w14:paraId="2CB1BFA8" w14:textId="4E948321" w:rsidR="00E7327C" w:rsidRPr="00C420C2" w:rsidRDefault="00E7327C" w:rsidP="00F67217">
      <w:pPr>
        <w:spacing w:after="0" w:line="240" w:lineRule="auto"/>
        <w:jc w:val="both"/>
        <w:rPr>
          <w:rStyle w:val="fontstyle01"/>
          <w:rFonts w:asciiTheme="minorHAnsi" w:hAnsiTheme="minorHAnsi" w:cstheme="minorHAnsi"/>
          <w:sz w:val="22"/>
          <w:szCs w:val="22"/>
        </w:rPr>
      </w:pPr>
      <w:r w:rsidRPr="00C420C2">
        <w:rPr>
          <w:rStyle w:val="fontstyle01"/>
          <w:rFonts w:asciiTheme="minorHAnsi" w:hAnsiTheme="minorHAnsi" w:cstheme="minorHAnsi"/>
          <w:sz w:val="22"/>
          <w:szCs w:val="22"/>
        </w:rPr>
        <w:t xml:space="preserve">Site Reference 12.4 </w:t>
      </w:r>
      <w:r w:rsidR="00317FDA" w:rsidRPr="00C420C2">
        <w:rPr>
          <w:rStyle w:val="fontstyle01"/>
          <w:rFonts w:asciiTheme="minorHAnsi" w:hAnsiTheme="minorHAnsi" w:cstheme="minorHAnsi"/>
          <w:sz w:val="22"/>
          <w:szCs w:val="22"/>
        </w:rPr>
        <w:t>(</w:t>
      </w:r>
      <w:r w:rsidRPr="00C420C2">
        <w:rPr>
          <w:rFonts w:cstheme="minorHAnsi"/>
          <w:color w:val="000000"/>
        </w:rPr>
        <w:t xml:space="preserve">Land south of Wheatcroft Island, </w:t>
      </w:r>
      <w:proofErr w:type="spellStart"/>
      <w:r w:rsidRPr="00C420C2">
        <w:rPr>
          <w:rFonts w:cstheme="minorHAnsi"/>
          <w:color w:val="000000"/>
        </w:rPr>
        <w:t>Flawforth</w:t>
      </w:r>
      <w:proofErr w:type="spellEnd"/>
      <w:r w:rsidRPr="00C420C2">
        <w:rPr>
          <w:rFonts w:cstheme="minorHAnsi"/>
          <w:color w:val="000000"/>
        </w:rPr>
        <w:t xml:space="preserve"> Lane</w:t>
      </w:r>
      <w:r w:rsidR="00317FDA" w:rsidRPr="00C420C2">
        <w:rPr>
          <w:rFonts w:cstheme="minorHAnsi"/>
          <w:color w:val="000000"/>
        </w:rPr>
        <w:t>)</w:t>
      </w:r>
      <w:r w:rsidRPr="00C420C2">
        <w:rPr>
          <w:rFonts w:cstheme="minorHAnsi"/>
          <w:color w:val="000000"/>
        </w:rPr>
        <w:tab/>
      </w:r>
      <w:r w:rsidRPr="00C420C2">
        <w:rPr>
          <w:rStyle w:val="fontstyle01"/>
          <w:rFonts w:asciiTheme="minorHAnsi" w:hAnsiTheme="minorHAnsi" w:cstheme="minorHAnsi"/>
          <w:sz w:val="22"/>
          <w:szCs w:val="22"/>
        </w:rPr>
        <w:t xml:space="preserve">1,904 </w:t>
      </w:r>
      <w:r w:rsidR="00317FDA" w:rsidRPr="00C420C2">
        <w:rPr>
          <w:rStyle w:val="fontstyle01"/>
          <w:rFonts w:asciiTheme="minorHAnsi" w:hAnsiTheme="minorHAnsi" w:cstheme="minorHAnsi"/>
          <w:sz w:val="22"/>
          <w:szCs w:val="22"/>
        </w:rPr>
        <w:t>-</w:t>
      </w:r>
      <w:r w:rsidRPr="00C420C2">
        <w:rPr>
          <w:rStyle w:val="fontstyle01"/>
          <w:rFonts w:asciiTheme="minorHAnsi" w:hAnsiTheme="minorHAnsi" w:cstheme="minorHAnsi"/>
          <w:sz w:val="22"/>
          <w:szCs w:val="22"/>
        </w:rPr>
        <w:t xml:space="preserve"> 2,240 houses</w:t>
      </w:r>
    </w:p>
    <w:p w14:paraId="3A124E5F" w14:textId="296D54D8" w:rsidR="00E7327C" w:rsidRPr="00C420C2" w:rsidRDefault="00E7327C" w:rsidP="00F67217">
      <w:pPr>
        <w:spacing w:after="0" w:line="240" w:lineRule="auto"/>
        <w:jc w:val="both"/>
        <w:rPr>
          <w:rFonts w:cstheme="minorHAnsi"/>
          <w:b/>
        </w:rPr>
      </w:pPr>
      <w:r w:rsidRPr="00C420C2">
        <w:rPr>
          <w:rFonts w:cstheme="minorHAnsi"/>
          <w:b/>
        </w:rPr>
        <w:t>Should all of the sites be developed this would result in</w:t>
      </w:r>
      <w:r w:rsidRPr="00C420C2">
        <w:rPr>
          <w:rFonts w:cstheme="minorHAnsi"/>
          <w:bCs/>
        </w:rPr>
        <w:t xml:space="preserve"> </w:t>
      </w:r>
      <w:r w:rsidRPr="00C420C2">
        <w:rPr>
          <w:rFonts w:cstheme="minorHAnsi"/>
          <w:b/>
        </w:rPr>
        <w:t xml:space="preserve">an increase in housing of 107% </w:t>
      </w:r>
    </w:p>
    <w:p w14:paraId="5BC0A0EF" w14:textId="07EACAAB" w:rsidR="00293EEF" w:rsidRPr="00C420C2" w:rsidRDefault="00293EEF" w:rsidP="00F67217">
      <w:pPr>
        <w:spacing w:after="0" w:line="240" w:lineRule="auto"/>
        <w:jc w:val="both"/>
        <w:rPr>
          <w:rFonts w:cstheme="minorHAnsi"/>
          <w:bCs/>
        </w:rPr>
      </w:pPr>
    </w:p>
    <w:p w14:paraId="6BA32E59" w14:textId="77777777" w:rsidR="00293EEF" w:rsidRPr="00C420C2" w:rsidRDefault="00293EEF" w:rsidP="00F67217">
      <w:pPr>
        <w:pStyle w:val="BodyTextIndent"/>
        <w:ind w:left="0"/>
        <w:rPr>
          <w:rFonts w:asciiTheme="minorHAnsi" w:hAnsiTheme="minorHAnsi" w:cstheme="minorHAnsi"/>
          <w:b/>
          <w:sz w:val="22"/>
          <w:szCs w:val="22"/>
          <w:u w:val="single"/>
        </w:rPr>
      </w:pPr>
      <w:r w:rsidRPr="00C420C2">
        <w:rPr>
          <w:rFonts w:asciiTheme="minorHAnsi" w:hAnsiTheme="minorHAnsi" w:cstheme="minorHAnsi"/>
          <w:b/>
          <w:sz w:val="22"/>
          <w:szCs w:val="22"/>
          <w:u w:val="single"/>
        </w:rPr>
        <w:t>SUSTAINABLE TRAVEL</w:t>
      </w:r>
    </w:p>
    <w:p w14:paraId="6E3600EB" w14:textId="3AE9D39C" w:rsidR="00293EEF" w:rsidRPr="00C420C2" w:rsidRDefault="00293EEF" w:rsidP="00F67217">
      <w:pPr>
        <w:pStyle w:val="BodyTextIndent"/>
        <w:ind w:left="0"/>
        <w:rPr>
          <w:rFonts w:asciiTheme="minorHAnsi" w:eastAsia="Calibri" w:hAnsiTheme="minorHAnsi" w:cstheme="minorHAnsi"/>
          <w:bCs w:val="0"/>
          <w:color w:val="000000"/>
          <w:sz w:val="22"/>
          <w:szCs w:val="22"/>
          <w:lang w:val="en-GB"/>
        </w:rPr>
      </w:pPr>
      <w:r w:rsidRPr="00C420C2">
        <w:rPr>
          <w:rFonts w:asciiTheme="minorHAnsi" w:eastAsia="Calibri" w:hAnsiTheme="minorHAnsi" w:cstheme="minorHAnsi"/>
          <w:bCs w:val="0"/>
          <w:color w:val="000000"/>
          <w:sz w:val="22"/>
          <w:szCs w:val="22"/>
          <w:lang w:val="en-GB"/>
        </w:rPr>
        <w:t xml:space="preserve">The </w:t>
      </w:r>
      <w:r w:rsidRPr="00C420C2">
        <w:rPr>
          <w:rStyle w:val="fontstyle01"/>
          <w:rFonts w:asciiTheme="minorHAnsi" w:hAnsiTheme="minorHAnsi" w:cstheme="minorHAnsi"/>
          <w:sz w:val="22"/>
          <w:szCs w:val="22"/>
        </w:rPr>
        <w:t>Department for Transport advise that key facilities and amenities should be located within 1600m.</w:t>
      </w:r>
      <w:r w:rsidRPr="00C420C2">
        <w:rPr>
          <w:rFonts w:asciiTheme="minorHAnsi" w:eastAsia="Calibri" w:hAnsiTheme="minorHAnsi" w:cstheme="minorHAnsi"/>
          <w:bCs w:val="0"/>
          <w:color w:val="000000"/>
          <w:sz w:val="22"/>
          <w:szCs w:val="22"/>
          <w:lang w:val="en-GB"/>
        </w:rPr>
        <w:t xml:space="preserve"> </w:t>
      </w:r>
    </w:p>
    <w:p w14:paraId="481EEF90" w14:textId="37CF95EF" w:rsidR="00293EEF" w:rsidRPr="00C420C2" w:rsidRDefault="00293EEF" w:rsidP="00F67217">
      <w:pPr>
        <w:spacing w:after="0" w:line="240" w:lineRule="auto"/>
        <w:jc w:val="both"/>
        <w:rPr>
          <w:rFonts w:cstheme="minorHAnsi"/>
          <w:b/>
          <w:bCs/>
          <w:color w:val="000000"/>
        </w:rPr>
      </w:pPr>
      <w:r w:rsidRPr="00C420C2">
        <w:rPr>
          <w:rStyle w:val="fontstyle01"/>
          <w:rFonts w:asciiTheme="minorHAnsi" w:hAnsiTheme="minorHAnsi" w:cstheme="minorHAnsi"/>
          <w:b/>
          <w:bCs/>
          <w:sz w:val="22"/>
          <w:szCs w:val="22"/>
        </w:rPr>
        <w:t xml:space="preserve">None of the proposed new sites can be described as ‘a walkable neighbourhood’ </w:t>
      </w:r>
      <w:r w:rsidRPr="00C420C2">
        <w:rPr>
          <w:rStyle w:val="fontstyle01"/>
          <w:rFonts w:asciiTheme="minorHAnsi" w:hAnsiTheme="minorHAnsi" w:cstheme="minorHAnsi"/>
          <w:sz w:val="22"/>
          <w:szCs w:val="22"/>
        </w:rPr>
        <w:t>as described by ‘The Manual for Streets’ as the vast majority of facilities are in excess of 1600 metres from the centre of each proposed site.</w:t>
      </w:r>
      <w:r w:rsidR="00317FDA" w:rsidRPr="00C420C2">
        <w:rPr>
          <w:rStyle w:val="fontstyle01"/>
          <w:rFonts w:asciiTheme="minorHAnsi" w:hAnsiTheme="minorHAnsi" w:cstheme="minorHAnsi"/>
          <w:sz w:val="22"/>
          <w:szCs w:val="22"/>
        </w:rPr>
        <w:t xml:space="preserve"> </w:t>
      </w:r>
      <w:r w:rsidRPr="00C420C2">
        <w:rPr>
          <w:rFonts w:eastAsia="Calibri" w:cstheme="minorHAnsi"/>
          <w:color w:val="000000"/>
        </w:rPr>
        <w:t xml:space="preserve">Existing car parking facilities within the centre of Ruddington are already limited. </w:t>
      </w:r>
      <w:r w:rsidRPr="00C420C2">
        <w:rPr>
          <w:rFonts w:eastAsia="Calibri" w:cstheme="minorHAnsi"/>
          <w:b/>
          <w:bCs/>
          <w:color w:val="000000"/>
        </w:rPr>
        <w:t>With the addition of an extra 588 houses it is extremely likely that these facilities will be overwhelmed by 2028</w:t>
      </w:r>
      <w:r w:rsidR="00317FDA" w:rsidRPr="00C420C2">
        <w:rPr>
          <w:rFonts w:eastAsia="Calibri" w:cstheme="minorHAnsi"/>
          <w:b/>
          <w:bCs/>
          <w:color w:val="000000"/>
        </w:rPr>
        <w:t>.</w:t>
      </w:r>
    </w:p>
    <w:p w14:paraId="0263CD32" w14:textId="49C3AB77" w:rsidR="00293EEF" w:rsidRPr="00C420C2" w:rsidRDefault="00293EEF" w:rsidP="00F67217">
      <w:pPr>
        <w:pStyle w:val="BodyTextIndent"/>
        <w:ind w:left="0"/>
        <w:rPr>
          <w:rFonts w:asciiTheme="minorHAnsi" w:eastAsia="Calibri" w:hAnsiTheme="minorHAnsi" w:cstheme="minorHAnsi"/>
          <w:bCs w:val="0"/>
          <w:color w:val="000000"/>
          <w:sz w:val="22"/>
          <w:szCs w:val="22"/>
          <w:lang w:val="en-GB"/>
        </w:rPr>
      </w:pPr>
    </w:p>
    <w:p w14:paraId="7A4572B9" w14:textId="77777777" w:rsidR="00293EEF" w:rsidRPr="00C420C2" w:rsidRDefault="00293EEF" w:rsidP="00F67217">
      <w:pPr>
        <w:pStyle w:val="BodyTextIndent"/>
        <w:ind w:left="0"/>
        <w:rPr>
          <w:rFonts w:asciiTheme="minorHAnsi" w:hAnsiTheme="minorHAnsi" w:cstheme="minorHAnsi"/>
          <w:b/>
          <w:sz w:val="22"/>
          <w:szCs w:val="22"/>
          <w:u w:val="single"/>
        </w:rPr>
      </w:pPr>
      <w:r w:rsidRPr="00C420C2">
        <w:rPr>
          <w:rFonts w:asciiTheme="minorHAnsi" w:hAnsiTheme="minorHAnsi" w:cstheme="minorHAnsi"/>
          <w:b/>
          <w:sz w:val="22"/>
          <w:szCs w:val="22"/>
          <w:u w:val="single"/>
        </w:rPr>
        <w:t>FLOOD RISK</w:t>
      </w:r>
    </w:p>
    <w:p w14:paraId="554F2EF3" w14:textId="455B1872" w:rsidR="00293EEF" w:rsidRPr="00C420C2" w:rsidRDefault="00293EEF" w:rsidP="00F67217">
      <w:pPr>
        <w:pStyle w:val="BodyTextIndent"/>
        <w:ind w:left="0"/>
        <w:rPr>
          <w:rStyle w:val="fontstyle01"/>
          <w:rFonts w:asciiTheme="minorHAnsi" w:hAnsiTheme="minorHAnsi" w:cstheme="minorHAnsi"/>
          <w:sz w:val="22"/>
          <w:szCs w:val="22"/>
        </w:rPr>
      </w:pPr>
      <w:r w:rsidRPr="00C420C2">
        <w:rPr>
          <w:rStyle w:val="fontstyle01"/>
          <w:rFonts w:asciiTheme="minorHAnsi" w:hAnsiTheme="minorHAnsi" w:cstheme="minorHAnsi"/>
          <w:sz w:val="22"/>
          <w:szCs w:val="22"/>
        </w:rPr>
        <w:t>Extracts from the Environment Agency flood risk maps for Sites R12.1</w:t>
      </w:r>
      <w:r w:rsidRPr="00C420C2">
        <w:rPr>
          <w:rStyle w:val="fontstyle01"/>
          <w:rFonts w:asciiTheme="minorHAnsi" w:hAnsiTheme="minorHAnsi" w:cstheme="minorHAnsi"/>
          <w:i/>
          <w:iCs/>
          <w:sz w:val="22"/>
          <w:szCs w:val="22"/>
        </w:rPr>
        <w:t xml:space="preserve"> (The West of Pasture Lane)</w:t>
      </w:r>
      <w:r w:rsidRPr="00C420C2">
        <w:rPr>
          <w:rStyle w:val="fontstyle01"/>
          <w:rFonts w:asciiTheme="minorHAnsi" w:hAnsiTheme="minorHAnsi" w:cstheme="minorHAnsi"/>
          <w:sz w:val="22"/>
          <w:szCs w:val="22"/>
        </w:rPr>
        <w:t xml:space="preserve"> and R12.2</w:t>
      </w:r>
      <w:r w:rsidRPr="00C420C2">
        <w:rPr>
          <w:rStyle w:val="fontstyle01"/>
          <w:rFonts w:asciiTheme="minorHAnsi" w:hAnsiTheme="minorHAnsi" w:cstheme="minorHAnsi"/>
          <w:i/>
          <w:iCs/>
          <w:sz w:val="22"/>
          <w:szCs w:val="22"/>
        </w:rPr>
        <w:t xml:space="preserve"> (North Road)</w:t>
      </w:r>
      <w:r w:rsidRPr="00C420C2">
        <w:rPr>
          <w:rStyle w:val="fontstyle01"/>
          <w:rFonts w:asciiTheme="minorHAnsi" w:hAnsiTheme="minorHAnsi" w:cstheme="minorHAnsi"/>
          <w:sz w:val="22"/>
          <w:szCs w:val="22"/>
        </w:rPr>
        <w:t xml:space="preserve"> are shown below:</w:t>
      </w:r>
    </w:p>
    <w:p w14:paraId="59C8F0F9" w14:textId="77777777" w:rsidR="00293EEF" w:rsidRPr="00C420C2" w:rsidRDefault="00293EEF" w:rsidP="00F67217">
      <w:pPr>
        <w:pStyle w:val="BodyTextIndent"/>
        <w:ind w:left="0" w:firstLine="993"/>
        <w:rPr>
          <w:rStyle w:val="fontstyle01"/>
          <w:rFonts w:asciiTheme="minorHAnsi" w:hAnsiTheme="minorHAnsi" w:cstheme="minorHAnsi"/>
          <w:sz w:val="22"/>
          <w:szCs w:val="22"/>
        </w:rPr>
      </w:pPr>
      <w:r w:rsidRPr="00C420C2">
        <w:rPr>
          <w:rFonts w:asciiTheme="minorHAnsi" w:hAnsiTheme="minorHAnsi" w:cstheme="minorHAnsi"/>
          <w:noProof/>
          <w:color w:val="000000"/>
          <w:sz w:val="22"/>
          <w:szCs w:val="22"/>
        </w:rPr>
        <w:drawing>
          <wp:inline distT="0" distB="0" distL="0" distR="0" wp14:anchorId="31C1A832" wp14:editId="6D5E4254">
            <wp:extent cx="2289976" cy="1910776"/>
            <wp:effectExtent l="19050" t="19050" r="15240" b="13335"/>
            <wp:docPr id="1" name="Picture 1"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ood Zones Western Sites.png"/>
                    <pic:cNvPicPr/>
                  </pic:nvPicPr>
                  <pic:blipFill>
                    <a:blip r:embed="rId5">
                      <a:extLst>
                        <a:ext uri="{28A0092B-C50C-407E-A947-70E740481C1C}">
                          <a14:useLocalDpi xmlns:a14="http://schemas.microsoft.com/office/drawing/2010/main" val="0"/>
                        </a:ext>
                      </a:extLst>
                    </a:blip>
                    <a:stretch>
                      <a:fillRect/>
                    </a:stretch>
                  </pic:blipFill>
                  <pic:spPr>
                    <a:xfrm>
                      <a:off x="0" y="0"/>
                      <a:ext cx="2340065" cy="1952570"/>
                    </a:xfrm>
                    <a:prstGeom prst="rect">
                      <a:avLst/>
                    </a:prstGeom>
                    <a:ln>
                      <a:solidFill>
                        <a:schemeClr val="accent1"/>
                      </a:solidFill>
                    </a:ln>
                  </pic:spPr>
                </pic:pic>
              </a:graphicData>
            </a:graphic>
          </wp:inline>
        </w:drawing>
      </w:r>
    </w:p>
    <w:p w14:paraId="0CD1725A" w14:textId="77777777" w:rsidR="00293EEF" w:rsidRPr="00C420C2" w:rsidRDefault="00293EEF" w:rsidP="00F67217">
      <w:pPr>
        <w:spacing w:after="0" w:line="240" w:lineRule="auto"/>
        <w:jc w:val="both"/>
        <w:rPr>
          <w:rStyle w:val="fontstyle01"/>
          <w:rFonts w:asciiTheme="minorHAnsi" w:hAnsiTheme="minorHAnsi" w:cstheme="minorHAnsi"/>
          <w:b/>
          <w:bCs/>
          <w:sz w:val="22"/>
          <w:szCs w:val="22"/>
        </w:rPr>
      </w:pPr>
      <w:r w:rsidRPr="00C420C2">
        <w:rPr>
          <w:rStyle w:val="fontstyle01"/>
          <w:rFonts w:asciiTheme="minorHAnsi" w:hAnsiTheme="minorHAnsi" w:cstheme="minorHAnsi"/>
          <w:b/>
          <w:bCs/>
          <w:sz w:val="22"/>
          <w:szCs w:val="22"/>
        </w:rPr>
        <w:t>The dark blue areas represent Flood Zone 3 where residential development should not be permitted.</w:t>
      </w:r>
    </w:p>
    <w:p w14:paraId="4423F02C" w14:textId="416C067E" w:rsidR="00293EEF" w:rsidRPr="00C420C2" w:rsidRDefault="00293EEF" w:rsidP="00F67217">
      <w:pPr>
        <w:pStyle w:val="BodyTextIndent"/>
        <w:ind w:left="0" w:firstLine="0"/>
        <w:rPr>
          <w:rStyle w:val="fontstyle01"/>
          <w:rFonts w:asciiTheme="minorHAnsi" w:hAnsiTheme="minorHAnsi" w:cstheme="minorHAnsi"/>
          <w:i/>
          <w:iCs/>
          <w:sz w:val="22"/>
          <w:szCs w:val="22"/>
        </w:rPr>
      </w:pPr>
      <w:r w:rsidRPr="00C420C2">
        <w:rPr>
          <w:rStyle w:val="fontstyle01"/>
          <w:rFonts w:asciiTheme="minorHAnsi" w:hAnsiTheme="minorHAnsi" w:cstheme="minorHAnsi"/>
          <w:sz w:val="22"/>
          <w:szCs w:val="22"/>
        </w:rPr>
        <w:t>The AECOM report states that ‘</w:t>
      </w:r>
      <w:r w:rsidRPr="00C420C2">
        <w:rPr>
          <w:rStyle w:val="fontstyle01"/>
          <w:rFonts w:asciiTheme="minorHAnsi" w:hAnsiTheme="minorHAnsi" w:cstheme="minorHAnsi"/>
          <w:i/>
          <w:iCs/>
          <w:sz w:val="22"/>
          <w:szCs w:val="22"/>
        </w:rPr>
        <w:t xml:space="preserve">The West of Pasture Lane </w:t>
      </w:r>
      <w:r w:rsidRPr="00C420C2">
        <w:rPr>
          <w:rStyle w:val="fontstyle01"/>
          <w:rFonts w:asciiTheme="minorHAnsi" w:hAnsiTheme="minorHAnsi" w:cstheme="minorHAnsi"/>
          <w:sz w:val="22"/>
          <w:szCs w:val="22"/>
        </w:rPr>
        <w:t>(Site R12.1)</w:t>
      </w:r>
      <w:r w:rsidRPr="00C420C2">
        <w:rPr>
          <w:rStyle w:val="fontstyle01"/>
          <w:rFonts w:asciiTheme="minorHAnsi" w:hAnsiTheme="minorHAnsi" w:cstheme="minorHAnsi"/>
          <w:i/>
          <w:iCs/>
          <w:sz w:val="22"/>
          <w:szCs w:val="22"/>
        </w:rPr>
        <w:t xml:space="preserve"> and North Road </w:t>
      </w:r>
      <w:r w:rsidRPr="00C420C2">
        <w:rPr>
          <w:rStyle w:val="fontstyle01"/>
          <w:rFonts w:asciiTheme="minorHAnsi" w:hAnsiTheme="minorHAnsi" w:cstheme="minorHAnsi"/>
          <w:sz w:val="22"/>
          <w:szCs w:val="22"/>
        </w:rPr>
        <w:t>(Site R12.2)</w:t>
      </w:r>
      <w:r w:rsidRPr="00C420C2">
        <w:rPr>
          <w:rStyle w:val="fontstyle01"/>
          <w:rFonts w:asciiTheme="minorHAnsi" w:hAnsiTheme="minorHAnsi" w:cstheme="minorHAnsi"/>
          <w:i/>
          <w:iCs/>
          <w:sz w:val="22"/>
          <w:szCs w:val="22"/>
        </w:rPr>
        <w:t xml:space="preserve"> sites include flood zones and landscape constraints. These sites are potentially unsuitable for development’.</w:t>
      </w:r>
    </w:p>
    <w:p w14:paraId="6841F659" w14:textId="4594A7B9" w:rsidR="00293EEF" w:rsidRPr="00C420C2" w:rsidRDefault="00293EEF" w:rsidP="00F67217">
      <w:pPr>
        <w:pStyle w:val="BodyTextIndent"/>
        <w:ind w:left="0" w:firstLine="0"/>
        <w:rPr>
          <w:rStyle w:val="fontstyle01"/>
          <w:rFonts w:asciiTheme="minorHAnsi" w:hAnsiTheme="minorHAnsi" w:cstheme="minorHAnsi"/>
          <w:i/>
          <w:iCs/>
          <w:sz w:val="22"/>
          <w:szCs w:val="22"/>
        </w:rPr>
      </w:pPr>
    </w:p>
    <w:p w14:paraId="770DB622" w14:textId="77777777" w:rsidR="00293EEF" w:rsidRPr="00C420C2" w:rsidRDefault="00293EEF" w:rsidP="00F67217">
      <w:pPr>
        <w:pStyle w:val="BodyTextIndent"/>
        <w:ind w:left="0"/>
        <w:rPr>
          <w:rFonts w:asciiTheme="minorHAnsi" w:hAnsiTheme="minorHAnsi" w:cstheme="minorHAnsi"/>
          <w:b/>
          <w:sz w:val="22"/>
          <w:szCs w:val="22"/>
          <w:u w:val="single"/>
        </w:rPr>
      </w:pPr>
      <w:r w:rsidRPr="00C420C2">
        <w:rPr>
          <w:rFonts w:asciiTheme="minorHAnsi" w:hAnsiTheme="minorHAnsi" w:cstheme="minorHAnsi"/>
          <w:b/>
          <w:sz w:val="22"/>
          <w:szCs w:val="22"/>
          <w:u w:val="single"/>
        </w:rPr>
        <w:t>EDUCATION INFRASTRUCTURE</w:t>
      </w:r>
    </w:p>
    <w:p w14:paraId="641137C0" w14:textId="2DD00BB8" w:rsidR="00293EEF" w:rsidRPr="00C420C2" w:rsidRDefault="00293EEF" w:rsidP="00F67217">
      <w:pPr>
        <w:spacing w:after="0" w:line="240" w:lineRule="auto"/>
        <w:jc w:val="both"/>
        <w:rPr>
          <w:rFonts w:cstheme="minorHAnsi"/>
          <w:bCs/>
          <w:color w:val="000000"/>
          <w:lang w:val="en-US"/>
        </w:rPr>
      </w:pPr>
      <w:r w:rsidRPr="00C420C2">
        <w:rPr>
          <w:rFonts w:cstheme="minorHAnsi"/>
          <w:bCs/>
          <w:color w:val="000000"/>
          <w:lang w:val="en-US"/>
        </w:rPr>
        <w:t xml:space="preserve">Ruddington does </w:t>
      </w:r>
      <w:r w:rsidRPr="00C420C2">
        <w:rPr>
          <w:rFonts w:cstheme="minorHAnsi"/>
          <w:b/>
          <w:color w:val="000000"/>
          <w:u w:val="single"/>
          <w:lang w:val="en-US"/>
        </w:rPr>
        <w:t>NOT</w:t>
      </w:r>
      <w:r w:rsidRPr="00C420C2">
        <w:rPr>
          <w:rFonts w:cstheme="minorHAnsi"/>
          <w:bCs/>
          <w:color w:val="000000"/>
          <w:lang w:val="en-US"/>
        </w:rPr>
        <w:t xml:space="preserve"> have a Primary School. It has an Infant’s School, uniquely </w:t>
      </w:r>
      <w:proofErr w:type="spellStart"/>
      <w:r w:rsidRPr="00C420C2">
        <w:rPr>
          <w:rFonts w:cstheme="minorHAnsi"/>
          <w:bCs/>
          <w:color w:val="000000"/>
          <w:lang w:val="en-US"/>
        </w:rPr>
        <w:t>sited</w:t>
      </w:r>
      <w:proofErr w:type="spellEnd"/>
      <w:r w:rsidRPr="00C420C2">
        <w:rPr>
          <w:rFonts w:cstheme="minorHAnsi"/>
          <w:bCs/>
          <w:color w:val="000000"/>
          <w:lang w:val="en-US"/>
        </w:rPr>
        <w:t xml:space="preserve"> within a Private residential area</w:t>
      </w:r>
      <w:r w:rsidR="00ED3A88" w:rsidRPr="00C420C2">
        <w:rPr>
          <w:rFonts w:cstheme="minorHAnsi"/>
          <w:bCs/>
          <w:color w:val="000000"/>
          <w:lang w:val="en-US"/>
        </w:rPr>
        <w:t xml:space="preserve"> and</w:t>
      </w:r>
      <w:r w:rsidRPr="00C420C2">
        <w:rPr>
          <w:rFonts w:cstheme="minorHAnsi"/>
          <w:bCs/>
          <w:color w:val="000000"/>
          <w:lang w:val="en-US"/>
        </w:rPr>
        <w:t xml:space="preserve"> a Junior School sited at the opposite side of the village to the Infants School.</w:t>
      </w:r>
    </w:p>
    <w:p w14:paraId="0394B544" w14:textId="4BBFA811" w:rsidR="00293EEF" w:rsidRPr="00C420C2" w:rsidRDefault="00293EEF" w:rsidP="00F67217">
      <w:pPr>
        <w:spacing w:after="0" w:line="240" w:lineRule="auto"/>
        <w:jc w:val="both"/>
        <w:rPr>
          <w:rFonts w:cstheme="minorHAnsi"/>
          <w:b/>
          <w:color w:val="000000"/>
          <w:lang w:val="en-US"/>
        </w:rPr>
      </w:pPr>
      <w:r w:rsidRPr="00C420C2">
        <w:rPr>
          <w:rFonts w:cstheme="minorHAnsi"/>
          <w:b/>
          <w:color w:val="000000"/>
          <w:lang w:val="en-US"/>
        </w:rPr>
        <w:t xml:space="preserve">The proposed additional 588 houses that are due to be built by 2028 are likely to place demands on the existing schools that would exceed their capacity. </w:t>
      </w:r>
    </w:p>
    <w:p w14:paraId="129F70F1" w14:textId="09BC7C16" w:rsidR="00ED3A88" w:rsidRPr="00C420C2" w:rsidRDefault="00ED3A88" w:rsidP="00F67217">
      <w:pPr>
        <w:spacing w:after="0" w:line="240" w:lineRule="auto"/>
        <w:jc w:val="both"/>
        <w:rPr>
          <w:rFonts w:cstheme="minorHAnsi"/>
          <w:bCs/>
          <w:color w:val="000000"/>
          <w:lang w:val="en-US"/>
        </w:rPr>
      </w:pPr>
    </w:p>
    <w:p w14:paraId="1F29B997" w14:textId="7FCC9B01" w:rsidR="00ED3A88" w:rsidRPr="00C420C2" w:rsidRDefault="00ED3A88" w:rsidP="00F67217">
      <w:pPr>
        <w:pStyle w:val="BodyTextIndent"/>
        <w:ind w:left="0"/>
        <w:rPr>
          <w:rFonts w:asciiTheme="minorHAnsi" w:hAnsiTheme="minorHAnsi" w:cstheme="minorHAnsi"/>
          <w:b/>
          <w:sz w:val="22"/>
          <w:szCs w:val="22"/>
          <w:u w:val="single"/>
        </w:rPr>
      </w:pPr>
      <w:r w:rsidRPr="00C420C2">
        <w:rPr>
          <w:rFonts w:asciiTheme="minorHAnsi" w:hAnsiTheme="minorHAnsi" w:cstheme="minorHAnsi"/>
          <w:b/>
          <w:sz w:val="22"/>
          <w:szCs w:val="22"/>
          <w:u w:val="single"/>
        </w:rPr>
        <w:t>IS THERE A NEED FOR MORE HOUSING</w:t>
      </w:r>
      <w:r w:rsidR="00317FDA" w:rsidRPr="00C420C2">
        <w:rPr>
          <w:rFonts w:asciiTheme="minorHAnsi" w:hAnsiTheme="minorHAnsi" w:cstheme="minorHAnsi"/>
          <w:b/>
          <w:sz w:val="22"/>
          <w:szCs w:val="22"/>
          <w:u w:val="single"/>
        </w:rPr>
        <w:t>?</w:t>
      </w:r>
    </w:p>
    <w:p w14:paraId="1EC18B5B" w14:textId="77777777" w:rsidR="00ED3A88" w:rsidRPr="00C420C2" w:rsidRDefault="00ED3A88" w:rsidP="00F67217">
      <w:pPr>
        <w:spacing w:after="0" w:line="240" w:lineRule="auto"/>
        <w:jc w:val="both"/>
        <w:rPr>
          <w:rStyle w:val="fontstyle01"/>
          <w:rFonts w:asciiTheme="minorHAnsi" w:hAnsiTheme="minorHAnsi" w:cstheme="minorHAnsi"/>
          <w:sz w:val="22"/>
          <w:szCs w:val="22"/>
        </w:rPr>
      </w:pPr>
      <w:r w:rsidRPr="00C420C2">
        <w:rPr>
          <w:rStyle w:val="fontstyle01"/>
          <w:rFonts w:asciiTheme="minorHAnsi" w:hAnsiTheme="minorHAnsi" w:cstheme="minorHAnsi"/>
          <w:sz w:val="22"/>
          <w:szCs w:val="22"/>
        </w:rPr>
        <w:t xml:space="preserve">The ‘Nottingham Housing Market Area Local Housing Need’ in Appendix 1 of the Greater Nottingham Strategy Plan appears to indicate that </w:t>
      </w:r>
      <w:r w:rsidRPr="00C420C2">
        <w:rPr>
          <w:rStyle w:val="fontstyle01"/>
          <w:rFonts w:asciiTheme="minorHAnsi" w:hAnsiTheme="minorHAnsi" w:cstheme="minorHAnsi"/>
          <w:b/>
          <w:bCs/>
          <w:sz w:val="22"/>
          <w:szCs w:val="22"/>
        </w:rPr>
        <w:t>there is sufficient housing supply already identified until 2038.</w:t>
      </w:r>
      <w:r w:rsidRPr="00C420C2">
        <w:rPr>
          <w:rStyle w:val="fontstyle01"/>
          <w:rFonts w:asciiTheme="minorHAnsi" w:hAnsiTheme="minorHAnsi" w:cstheme="minorHAnsi"/>
          <w:sz w:val="22"/>
          <w:szCs w:val="22"/>
        </w:rPr>
        <w:t xml:space="preserve"> </w:t>
      </w:r>
    </w:p>
    <w:p w14:paraId="1F054CAA" w14:textId="3F71A4EE" w:rsidR="00ED3A88" w:rsidRDefault="00ED3A88" w:rsidP="00F67217">
      <w:pPr>
        <w:spacing w:after="0" w:line="240" w:lineRule="auto"/>
        <w:jc w:val="both"/>
        <w:rPr>
          <w:rStyle w:val="fontstyle01"/>
          <w:rFonts w:asciiTheme="minorHAnsi" w:hAnsiTheme="minorHAnsi" w:cstheme="minorHAnsi"/>
          <w:b/>
          <w:bCs/>
          <w:sz w:val="22"/>
          <w:szCs w:val="22"/>
        </w:rPr>
      </w:pPr>
      <w:r w:rsidRPr="00C420C2">
        <w:rPr>
          <w:rStyle w:val="fontstyle01"/>
          <w:rFonts w:asciiTheme="minorHAnsi" w:hAnsiTheme="minorHAnsi" w:cstheme="minorHAnsi"/>
          <w:sz w:val="22"/>
          <w:szCs w:val="22"/>
        </w:rPr>
        <w:t xml:space="preserve">Figure A1.1 in Appendix 1 of The Strategic Plan Area calculates a need for 51,580 houses, for the period from 2018 to 2038. Figure A1.1 in Appendix 1 indicates that there is a current estimated supply of 53,264 houses. </w:t>
      </w:r>
      <w:r w:rsidRPr="00C420C2">
        <w:rPr>
          <w:rStyle w:val="fontstyle01"/>
          <w:rFonts w:asciiTheme="minorHAnsi" w:hAnsiTheme="minorHAnsi" w:cstheme="minorHAnsi"/>
          <w:b/>
          <w:bCs/>
          <w:sz w:val="22"/>
          <w:szCs w:val="22"/>
        </w:rPr>
        <w:t>It is therefore unclear why a strategy is required for even more housing.</w:t>
      </w:r>
    </w:p>
    <w:p w14:paraId="05D120FF" w14:textId="42EB84A5" w:rsidR="00E752C6" w:rsidRDefault="00E752C6" w:rsidP="00F67217">
      <w:pPr>
        <w:spacing w:after="0" w:line="240" w:lineRule="auto"/>
        <w:jc w:val="both"/>
        <w:rPr>
          <w:rStyle w:val="fontstyle01"/>
          <w:rFonts w:asciiTheme="minorHAnsi" w:hAnsiTheme="minorHAnsi" w:cstheme="minorHAnsi"/>
          <w:b/>
          <w:bCs/>
          <w:sz w:val="22"/>
          <w:szCs w:val="22"/>
        </w:rPr>
      </w:pPr>
    </w:p>
    <w:p w14:paraId="0008C359" w14:textId="77777777" w:rsidR="00F67217" w:rsidRDefault="00E752C6" w:rsidP="00F67217">
      <w:pPr>
        <w:spacing w:after="0" w:line="240" w:lineRule="auto"/>
        <w:rPr>
          <w:rFonts w:cstheme="minorHAnsi"/>
        </w:rPr>
      </w:pPr>
      <w:r w:rsidRPr="00E752C6">
        <w:rPr>
          <w:rFonts w:cstheme="minorHAnsi"/>
        </w:rPr>
        <w:t xml:space="preserve">If growth is still required up to 2038 it should be concentrated in a </w:t>
      </w:r>
      <w:r w:rsidRPr="00E752C6">
        <w:rPr>
          <w:rFonts w:cstheme="minorHAnsi"/>
          <w:b/>
          <w:bCs/>
        </w:rPr>
        <w:t>new Garden town near the A453 and M1.</w:t>
      </w:r>
      <w:r w:rsidRPr="00E752C6">
        <w:rPr>
          <w:rFonts w:cstheme="minorHAnsi"/>
        </w:rPr>
        <w:t xml:space="preserve"> Extensions to existing settlements are less </w:t>
      </w:r>
      <w:r>
        <w:rPr>
          <w:rFonts w:cstheme="minorHAnsi"/>
        </w:rPr>
        <w:t>s</w:t>
      </w:r>
      <w:r w:rsidRPr="00E752C6">
        <w:rPr>
          <w:rFonts w:cstheme="minorHAnsi"/>
        </w:rPr>
        <w:t>ustainable and much more damaging to existing rural assets. There is plenty of time to plan this properly.</w:t>
      </w:r>
    </w:p>
    <w:p w14:paraId="4E235E5D" w14:textId="77777777" w:rsidR="00F67217" w:rsidRPr="00C420C2" w:rsidRDefault="00F67217" w:rsidP="00F67217">
      <w:pPr>
        <w:spacing w:after="0" w:line="240" w:lineRule="auto"/>
        <w:jc w:val="both"/>
        <w:rPr>
          <w:rFonts w:cstheme="minorHAnsi"/>
          <w:bCs/>
          <w:color w:val="000000"/>
          <w:lang w:val="en-US"/>
        </w:rPr>
      </w:pPr>
    </w:p>
    <w:p w14:paraId="3DE7F4B8" w14:textId="57568D3F" w:rsidR="00F67217" w:rsidRPr="00C420C2" w:rsidRDefault="00F67217" w:rsidP="00F67217">
      <w:pPr>
        <w:pStyle w:val="BodyTextIndent"/>
        <w:ind w:left="0"/>
        <w:rPr>
          <w:rFonts w:asciiTheme="minorHAnsi" w:hAnsiTheme="minorHAnsi" w:cstheme="minorHAnsi"/>
          <w:b/>
          <w:sz w:val="22"/>
          <w:szCs w:val="22"/>
          <w:u w:val="single"/>
        </w:rPr>
      </w:pPr>
      <w:r>
        <w:rPr>
          <w:rFonts w:asciiTheme="minorHAnsi" w:hAnsiTheme="minorHAnsi" w:cstheme="minorHAnsi"/>
          <w:b/>
          <w:sz w:val="22"/>
          <w:szCs w:val="22"/>
          <w:u w:val="single"/>
        </w:rPr>
        <w:t>FUTURE OF THE GREEN BELT</w:t>
      </w:r>
    </w:p>
    <w:p w14:paraId="14D3DF0A" w14:textId="0C204806" w:rsidR="00F67217" w:rsidRPr="00F67217" w:rsidRDefault="00F67217" w:rsidP="00F67217">
      <w:pPr>
        <w:spacing w:after="0" w:line="240" w:lineRule="auto"/>
        <w:rPr>
          <w:rFonts w:cstheme="minorHAnsi"/>
        </w:rPr>
      </w:pPr>
      <w:r>
        <w:rPr>
          <w:rFonts w:cstheme="minorHAnsi"/>
        </w:rPr>
        <w:t>R</w:t>
      </w:r>
      <w:r w:rsidRPr="00F67217">
        <w:rPr>
          <w:rFonts w:cstheme="minorHAnsi"/>
        </w:rPr>
        <w:t>etain all the Green Belt protections south and east of Nottingham. The principles of urban coalescence apply equally to large existing settlements such as Radcliffe and Ruddington as they do to the towns to the north of the City. This has been accepted in previous Planning policies. There is no evidence to support this change.</w:t>
      </w:r>
    </w:p>
    <w:p w14:paraId="49C774C9" w14:textId="77777777" w:rsidR="00F67217" w:rsidRPr="00E752C6" w:rsidRDefault="00F67217" w:rsidP="00E752C6">
      <w:pPr>
        <w:rPr>
          <w:rFonts w:cstheme="minorHAnsi"/>
        </w:rPr>
      </w:pPr>
    </w:p>
    <w:p w14:paraId="604C75A5" w14:textId="77777777" w:rsidR="00E752C6" w:rsidRPr="00C420C2" w:rsidRDefault="00E752C6" w:rsidP="00ED3A88">
      <w:pPr>
        <w:spacing w:after="0" w:line="300" w:lineRule="auto"/>
        <w:jc w:val="both"/>
        <w:rPr>
          <w:rStyle w:val="fontstyle01"/>
          <w:rFonts w:asciiTheme="minorHAnsi" w:hAnsiTheme="minorHAnsi" w:cstheme="minorHAnsi"/>
          <w:sz w:val="22"/>
          <w:szCs w:val="22"/>
        </w:rPr>
      </w:pPr>
    </w:p>
    <w:p w14:paraId="111FA9B3" w14:textId="06BE0163" w:rsidR="001A236D" w:rsidRPr="00C420C2" w:rsidRDefault="001A236D" w:rsidP="00ED3A88">
      <w:pPr>
        <w:spacing w:after="0" w:line="300" w:lineRule="auto"/>
        <w:jc w:val="both"/>
        <w:rPr>
          <w:rStyle w:val="fontstyle01"/>
          <w:rFonts w:asciiTheme="minorHAnsi" w:hAnsiTheme="minorHAnsi" w:cstheme="minorHAnsi"/>
          <w:b/>
          <w:bCs/>
          <w:sz w:val="22"/>
          <w:szCs w:val="22"/>
        </w:rPr>
      </w:pPr>
    </w:p>
    <w:p w14:paraId="000A4CB1" w14:textId="77777777" w:rsidR="001A236D" w:rsidRPr="00C420C2" w:rsidRDefault="001A236D" w:rsidP="001A236D">
      <w:pPr>
        <w:spacing w:after="0" w:line="300" w:lineRule="auto"/>
        <w:jc w:val="both"/>
        <w:rPr>
          <w:rFonts w:cstheme="minorHAnsi"/>
          <w:bCs/>
          <w:color w:val="000000"/>
          <w:lang w:val="en-US"/>
        </w:rPr>
      </w:pPr>
    </w:p>
    <w:p w14:paraId="262CC73E" w14:textId="77777777" w:rsidR="001A236D" w:rsidRPr="00C420C2" w:rsidRDefault="001A236D" w:rsidP="001A236D">
      <w:pPr>
        <w:pStyle w:val="BodyTextIndent"/>
        <w:spacing w:line="300" w:lineRule="auto"/>
        <w:ind w:left="0" w:firstLine="0"/>
        <w:rPr>
          <w:rStyle w:val="fontstyle01"/>
          <w:rFonts w:asciiTheme="minorHAnsi" w:hAnsiTheme="minorHAnsi" w:cstheme="minorHAnsi"/>
          <w:bCs w:val="0"/>
          <w:sz w:val="22"/>
          <w:szCs w:val="22"/>
        </w:rPr>
      </w:pPr>
    </w:p>
    <w:p w14:paraId="1EE45E0F" w14:textId="77777777" w:rsidR="001A236D" w:rsidRPr="00C420C2" w:rsidRDefault="001A236D" w:rsidP="001A236D">
      <w:pPr>
        <w:pStyle w:val="BodyTextIndent"/>
        <w:spacing w:line="300" w:lineRule="auto"/>
        <w:rPr>
          <w:rFonts w:asciiTheme="minorHAnsi" w:eastAsia="Calibri" w:hAnsiTheme="minorHAnsi" w:cstheme="minorHAnsi"/>
          <w:bCs w:val="0"/>
          <w:color w:val="000000"/>
          <w:sz w:val="22"/>
          <w:szCs w:val="22"/>
          <w:lang w:val="en-GB"/>
        </w:rPr>
      </w:pPr>
    </w:p>
    <w:p w14:paraId="39F91FF8" w14:textId="77777777" w:rsidR="001A236D" w:rsidRPr="00C420C2" w:rsidRDefault="001A236D" w:rsidP="001A236D">
      <w:pPr>
        <w:spacing w:after="0" w:line="300" w:lineRule="auto"/>
        <w:jc w:val="both"/>
        <w:rPr>
          <w:rFonts w:cstheme="minorHAnsi"/>
          <w:bCs/>
        </w:rPr>
      </w:pPr>
    </w:p>
    <w:p w14:paraId="1DDD9855" w14:textId="77777777" w:rsidR="001A236D" w:rsidRPr="00C420C2" w:rsidRDefault="001A236D" w:rsidP="001A236D">
      <w:pPr>
        <w:rPr>
          <w:rFonts w:cstheme="minorHAnsi"/>
        </w:rPr>
      </w:pPr>
    </w:p>
    <w:p w14:paraId="3203F058" w14:textId="77777777" w:rsidR="00D84DE3" w:rsidRPr="00C420C2" w:rsidRDefault="00D84DE3">
      <w:pPr>
        <w:rPr>
          <w:rFonts w:cstheme="minorHAnsi"/>
        </w:rPr>
      </w:pPr>
    </w:p>
    <w:sectPr w:rsidR="00D84DE3" w:rsidRPr="00C420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168DF"/>
    <w:multiLevelType w:val="multilevel"/>
    <w:tmpl w:val="DC02DBCA"/>
    <w:lvl w:ilvl="0">
      <w:start w:val="2"/>
      <w:numFmt w:val="decimal"/>
      <w:lvlText w:val="%1.0"/>
      <w:lvlJc w:val="left"/>
      <w:pPr>
        <w:ind w:left="1069"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2869" w:hanging="720"/>
      </w:pPr>
      <w:rPr>
        <w:rFonts w:hint="default"/>
      </w:rPr>
    </w:lvl>
    <w:lvl w:ilvl="3">
      <w:start w:val="1"/>
      <w:numFmt w:val="decimal"/>
      <w:lvlText w:val="%1.%2.%3.%4"/>
      <w:lvlJc w:val="left"/>
      <w:pPr>
        <w:ind w:left="3589" w:hanging="720"/>
      </w:pPr>
      <w:rPr>
        <w:rFonts w:hint="default"/>
      </w:rPr>
    </w:lvl>
    <w:lvl w:ilvl="4">
      <w:start w:val="1"/>
      <w:numFmt w:val="decimal"/>
      <w:lvlText w:val="%1.%2.%3.%4.%5"/>
      <w:lvlJc w:val="left"/>
      <w:pPr>
        <w:ind w:left="4669" w:hanging="1080"/>
      </w:pPr>
      <w:rPr>
        <w:rFonts w:hint="default"/>
      </w:rPr>
    </w:lvl>
    <w:lvl w:ilvl="5">
      <w:start w:val="1"/>
      <w:numFmt w:val="decimal"/>
      <w:lvlText w:val="%1.%2.%3.%4.%5.%6"/>
      <w:lvlJc w:val="left"/>
      <w:pPr>
        <w:ind w:left="5389" w:hanging="1080"/>
      </w:pPr>
      <w:rPr>
        <w:rFonts w:hint="default"/>
      </w:rPr>
    </w:lvl>
    <w:lvl w:ilvl="6">
      <w:start w:val="1"/>
      <w:numFmt w:val="decimal"/>
      <w:lvlText w:val="%1.%2.%3.%4.%5.%6.%7"/>
      <w:lvlJc w:val="left"/>
      <w:pPr>
        <w:ind w:left="6469" w:hanging="1440"/>
      </w:pPr>
      <w:rPr>
        <w:rFonts w:hint="default"/>
      </w:rPr>
    </w:lvl>
    <w:lvl w:ilvl="7">
      <w:start w:val="1"/>
      <w:numFmt w:val="decimal"/>
      <w:lvlText w:val="%1.%2.%3.%4.%5.%6.%7.%8"/>
      <w:lvlJc w:val="left"/>
      <w:pPr>
        <w:ind w:left="7189" w:hanging="1440"/>
      </w:pPr>
      <w:rPr>
        <w:rFonts w:hint="default"/>
      </w:rPr>
    </w:lvl>
    <w:lvl w:ilvl="8">
      <w:start w:val="1"/>
      <w:numFmt w:val="decimal"/>
      <w:lvlText w:val="%1.%2.%3.%4.%5.%6.%7.%8.%9"/>
      <w:lvlJc w:val="left"/>
      <w:pPr>
        <w:ind w:left="8269" w:hanging="1800"/>
      </w:pPr>
      <w:rPr>
        <w:rFonts w:hint="default"/>
      </w:rPr>
    </w:lvl>
  </w:abstractNum>
  <w:abstractNum w:abstractNumId="1" w15:restartNumberingAfterBreak="0">
    <w:nsid w:val="46753C7B"/>
    <w:multiLevelType w:val="multilevel"/>
    <w:tmpl w:val="0F464F34"/>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27C"/>
    <w:rsid w:val="001A236D"/>
    <w:rsid w:val="001B5A7E"/>
    <w:rsid w:val="00293EEF"/>
    <w:rsid w:val="00317FDA"/>
    <w:rsid w:val="00327DE4"/>
    <w:rsid w:val="004F0F22"/>
    <w:rsid w:val="00C420C2"/>
    <w:rsid w:val="00D84DE3"/>
    <w:rsid w:val="00E7327C"/>
    <w:rsid w:val="00E752C6"/>
    <w:rsid w:val="00E7600E"/>
    <w:rsid w:val="00ED3A88"/>
    <w:rsid w:val="00F67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C2E89"/>
  <w15:chartTrackingRefBased/>
  <w15:docId w15:val="{E2CFEE89-A19B-4CEB-B182-B64740B0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E7327C"/>
    <w:pPr>
      <w:spacing w:after="0" w:line="240" w:lineRule="auto"/>
      <w:ind w:left="720" w:hanging="720"/>
      <w:jc w:val="both"/>
    </w:pPr>
    <w:rPr>
      <w:rFonts w:ascii="Times New Roman" w:eastAsia="Times New Roman" w:hAnsi="Times New Roman" w:cs="Times New Roman"/>
      <w:bCs/>
      <w:sz w:val="24"/>
      <w:szCs w:val="20"/>
      <w:lang w:val="en-US"/>
    </w:rPr>
  </w:style>
  <w:style w:type="character" w:customStyle="1" w:styleId="BodyTextIndentChar">
    <w:name w:val="Body Text Indent Char"/>
    <w:basedOn w:val="DefaultParagraphFont"/>
    <w:link w:val="BodyTextIndent"/>
    <w:rsid w:val="00E7327C"/>
    <w:rPr>
      <w:rFonts w:ascii="Times New Roman" w:eastAsia="Times New Roman" w:hAnsi="Times New Roman" w:cs="Times New Roman"/>
      <w:bCs/>
      <w:sz w:val="24"/>
      <w:szCs w:val="20"/>
      <w:lang w:val="en-US"/>
    </w:rPr>
  </w:style>
  <w:style w:type="character" w:customStyle="1" w:styleId="fontstyle01">
    <w:name w:val="fontstyle01"/>
    <w:basedOn w:val="DefaultParagraphFont"/>
    <w:rsid w:val="00E7327C"/>
    <w:rPr>
      <w:rFonts w:ascii="ArialMT" w:hAnsi="ArialMT" w:hint="default"/>
      <w:b w:val="0"/>
      <w:bCs w:val="0"/>
      <w:i w:val="0"/>
      <w:iCs w:val="0"/>
      <w:color w:val="000000"/>
      <w:sz w:val="20"/>
      <w:szCs w:val="20"/>
    </w:rPr>
  </w:style>
  <w:style w:type="paragraph" w:styleId="ListParagraph">
    <w:name w:val="List Paragraph"/>
    <w:basedOn w:val="Normal"/>
    <w:uiPriority w:val="34"/>
    <w:qFormat/>
    <w:rsid w:val="00E7327C"/>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8580">
      <w:bodyDiv w:val="1"/>
      <w:marLeft w:val="0"/>
      <w:marRight w:val="0"/>
      <w:marTop w:val="0"/>
      <w:marBottom w:val="0"/>
      <w:divBdr>
        <w:top w:val="none" w:sz="0" w:space="0" w:color="auto"/>
        <w:left w:val="none" w:sz="0" w:space="0" w:color="auto"/>
        <w:bottom w:val="none" w:sz="0" w:space="0" w:color="auto"/>
        <w:right w:val="none" w:sz="0" w:space="0" w:color="auto"/>
      </w:divBdr>
    </w:div>
    <w:div w:id="632760668">
      <w:bodyDiv w:val="1"/>
      <w:marLeft w:val="0"/>
      <w:marRight w:val="0"/>
      <w:marTop w:val="0"/>
      <w:marBottom w:val="0"/>
      <w:divBdr>
        <w:top w:val="none" w:sz="0" w:space="0" w:color="auto"/>
        <w:left w:val="none" w:sz="0" w:space="0" w:color="auto"/>
        <w:bottom w:val="none" w:sz="0" w:space="0" w:color="auto"/>
        <w:right w:val="none" w:sz="0" w:space="0" w:color="auto"/>
      </w:divBdr>
    </w:div>
    <w:div w:id="1199003189">
      <w:bodyDiv w:val="1"/>
      <w:marLeft w:val="0"/>
      <w:marRight w:val="0"/>
      <w:marTop w:val="0"/>
      <w:marBottom w:val="0"/>
      <w:divBdr>
        <w:top w:val="none" w:sz="0" w:space="0" w:color="auto"/>
        <w:left w:val="none" w:sz="0" w:space="0" w:color="auto"/>
        <w:bottom w:val="none" w:sz="0" w:space="0" w:color="auto"/>
        <w:right w:val="none" w:sz="0" w:space="0" w:color="auto"/>
      </w:divBdr>
    </w:div>
    <w:div w:id="156109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Hennigan</dc:creator>
  <cp:keywords/>
  <dc:description/>
  <cp:lastModifiedBy>Jennifer Walker</cp:lastModifiedBy>
  <cp:revision>2</cp:revision>
  <dcterms:created xsi:type="dcterms:W3CDTF">2020-08-19T13:27:00Z</dcterms:created>
  <dcterms:modified xsi:type="dcterms:W3CDTF">2020-08-19T13:27:00Z</dcterms:modified>
</cp:coreProperties>
</file>